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Verslag van de MR vergadering van 8 januari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Bart Sonnenberg is het eerste deel van de vergadering aanwezig om een toelichting te geven op het huisvestingsbesluit van de gemeenten en de stand van zaken m.b.t. de bouwaanvraag van De Werveling. Deze wordt voorlopig niet in de gemeenteraad besproken. Besloten wordt om een brief naar college en gemeenteraad te sturen. </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De MR bespreekt de stand van zaken m.b.t. personeel van De Werveling en in het bijzonder de leerkrachten van groep 5M.</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De MR wordt door Koos Bezemer geïnformeerd over de begroting van De Werveling.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De MR bespreekt communicatie en zichtbaarheid met name die op de website. De informatie daarop is deels verouderd.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 MR bespreekt de samenstelling en het rooster van aftreden. Aan het eind van het schooljaar treedt een ouder af en twee leerkrachten.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